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EC3A" w14:textId="7899F42A" w:rsidR="007D720E" w:rsidRPr="003D2C5A" w:rsidRDefault="00543790" w:rsidP="007D720E">
      <w:pPr>
        <w:spacing w:line="276" w:lineRule="auto"/>
        <w:jc w:val="center"/>
        <w:rPr>
          <w:color w:val="auto"/>
          <w:spacing w:val="0"/>
          <w:sz w:val="36"/>
          <w:szCs w:val="36"/>
        </w:rPr>
      </w:pPr>
      <w:r w:rsidRPr="003D2C5A">
        <w:rPr>
          <w:color w:val="auto"/>
          <w:spacing w:val="0"/>
          <w:sz w:val="36"/>
          <w:szCs w:val="36"/>
        </w:rPr>
        <w:t>Field Hall Foundation</w:t>
      </w:r>
    </w:p>
    <w:p w14:paraId="53C70FE0" w14:textId="77777777" w:rsidR="003D2C5A" w:rsidRDefault="003D2C5A" w:rsidP="003D2C5A">
      <w:pPr>
        <w:spacing w:line="276" w:lineRule="auto"/>
        <w:jc w:val="center"/>
        <w:rPr>
          <w:b/>
          <w:bCs/>
          <w:color w:val="auto"/>
          <w:spacing w:val="0"/>
          <w:sz w:val="36"/>
          <w:szCs w:val="36"/>
        </w:rPr>
      </w:pPr>
      <w:r>
        <w:rPr>
          <w:b/>
          <w:bCs/>
          <w:color w:val="auto"/>
          <w:spacing w:val="0"/>
          <w:sz w:val="36"/>
          <w:szCs w:val="36"/>
        </w:rPr>
        <w:t>Allowable Costs for a Grant Request’s Budget</w:t>
      </w:r>
    </w:p>
    <w:p w14:paraId="04151E17" w14:textId="77777777" w:rsidR="005F6D33" w:rsidRDefault="005F6D33" w:rsidP="005F6D33">
      <w:pPr>
        <w:ind w:left="0"/>
        <w:rPr>
          <w:color w:val="auto"/>
          <w:spacing w:val="0"/>
        </w:rPr>
      </w:pPr>
    </w:p>
    <w:p w14:paraId="0511873C" w14:textId="77777777" w:rsidR="005F6D33" w:rsidRPr="00A61A87" w:rsidRDefault="005F6D33" w:rsidP="00400F5A">
      <w:pPr>
        <w:rPr>
          <w:color w:val="auto"/>
          <w:spacing w:val="0"/>
        </w:rPr>
      </w:pPr>
    </w:p>
    <w:p w14:paraId="2D728FC7" w14:textId="1FC4868C" w:rsidR="0030564F" w:rsidRPr="007D720E" w:rsidRDefault="0030564F" w:rsidP="005F6D33">
      <w:pPr>
        <w:spacing w:line="276" w:lineRule="auto"/>
        <w:rPr>
          <w:b/>
          <w:bCs/>
          <w:color w:val="auto"/>
          <w:spacing w:val="0"/>
        </w:rPr>
      </w:pPr>
      <w:r w:rsidRPr="007D720E">
        <w:rPr>
          <w:b/>
          <w:bCs/>
          <w:color w:val="auto"/>
          <w:spacing w:val="0"/>
        </w:rPr>
        <w:t xml:space="preserve">The following </w:t>
      </w:r>
      <w:r w:rsidR="00C44C1C" w:rsidRPr="007D720E">
        <w:rPr>
          <w:b/>
          <w:bCs/>
          <w:color w:val="auto"/>
          <w:spacing w:val="0"/>
        </w:rPr>
        <w:t>costs can be included in a grant request’s budget:</w:t>
      </w:r>
    </w:p>
    <w:p w14:paraId="1F029757" w14:textId="77777777" w:rsidR="0030564F" w:rsidRPr="00DA297D" w:rsidRDefault="0030564F" w:rsidP="005F6D33">
      <w:pPr>
        <w:spacing w:line="276" w:lineRule="auto"/>
        <w:rPr>
          <w:color w:val="auto"/>
          <w:spacing w:val="0"/>
          <w:sz w:val="20"/>
          <w:szCs w:val="20"/>
        </w:rPr>
      </w:pPr>
    </w:p>
    <w:p w14:paraId="4174BA79" w14:textId="77777777" w:rsidR="0030564F" w:rsidRPr="00A61A87" w:rsidRDefault="0030564F" w:rsidP="005F6D33">
      <w:pPr>
        <w:pStyle w:val="ListParagraph"/>
        <w:numPr>
          <w:ilvl w:val="0"/>
          <w:numId w:val="5"/>
        </w:numPr>
        <w:spacing w:line="276" w:lineRule="auto"/>
        <w:rPr>
          <w:color w:val="auto"/>
          <w:spacing w:val="0"/>
        </w:rPr>
      </w:pPr>
      <w:r w:rsidRPr="00A61A87">
        <w:rPr>
          <w:b/>
          <w:bCs/>
          <w:color w:val="auto"/>
          <w:spacing w:val="0"/>
        </w:rPr>
        <w:t>Personnel</w:t>
      </w:r>
      <w:r w:rsidRPr="00A61A87">
        <w:rPr>
          <w:color w:val="auto"/>
          <w:spacing w:val="0"/>
        </w:rPr>
        <w:t xml:space="preserve"> – Salaried (part-time, full-time, per diem or consultant) personnel necessary to accomplish the specific objectives in the Proposal, unless the specified position is already completely supported by the grantee organization.  Expanding already existing staff hours or hiring new staff is allowable.  Personnel compensated in whole or in part are not considered employees or agents of the Field Hall Foundation.</w:t>
      </w:r>
    </w:p>
    <w:p w14:paraId="362293F1" w14:textId="77777777" w:rsidR="0030564F" w:rsidRPr="00DA297D" w:rsidRDefault="0030564F" w:rsidP="005F6D33">
      <w:pPr>
        <w:spacing w:line="276" w:lineRule="auto"/>
        <w:rPr>
          <w:color w:val="auto"/>
          <w:spacing w:val="0"/>
          <w:sz w:val="20"/>
          <w:szCs w:val="20"/>
        </w:rPr>
      </w:pPr>
    </w:p>
    <w:p w14:paraId="6792522D" w14:textId="039DA5EC" w:rsidR="0030564F" w:rsidRPr="00A61A87" w:rsidRDefault="0030564F" w:rsidP="005F6D33">
      <w:pPr>
        <w:pStyle w:val="ListParagraph"/>
        <w:numPr>
          <w:ilvl w:val="0"/>
          <w:numId w:val="5"/>
        </w:numPr>
        <w:spacing w:line="276" w:lineRule="auto"/>
        <w:rPr>
          <w:strike/>
          <w:color w:val="auto"/>
          <w:spacing w:val="0"/>
        </w:rPr>
      </w:pPr>
      <w:r w:rsidRPr="00A61A87">
        <w:rPr>
          <w:b/>
          <w:bCs/>
          <w:color w:val="auto"/>
          <w:spacing w:val="0"/>
        </w:rPr>
        <w:t>Supplies/Materials</w:t>
      </w:r>
      <w:r w:rsidRPr="00A61A87">
        <w:rPr>
          <w:color w:val="auto"/>
          <w:spacing w:val="0"/>
        </w:rPr>
        <w:t xml:space="preserve"> – Expendable items necessary to accomplish the specific objectives of the Proposal that are to be “used up” in the course of the project.  These would include office supplies, incentives, educational materials</w:t>
      </w:r>
      <w:r w:rsidR="00DE6E9E" w:rsidRPr="00A61A87">
        <w:rPr>
          <w:color w:val="auto"/>
          <w:spacing w:val="0"/>
        </w:rPr>
        <w:t xml:space="preserve">.  </w:t>
      </w:r>
      <w:r w:rsidRPr="00A61A87">
        <w:rPr>
          <w:color w:val="auto"/>
          <w:spacing w:val="0"/>
        </w:rPr>
        <w:t xml:space="preserve">They do not include medical supplies that are reimbursed through Medicaid or other private insurance.   </w:t>
      </w:r>
    </w:p>
    <w:p w14:paraId="73676914" w14:textId="77777777" w:rsidR="0030564F" w:rsidRPr="00DA297D" w:rsidRDefault="0030564F" w:rsidP="005F6D33">
      <w:pPr>
        <w:spacing w:line="276" w:lineRule="auto"/>
        <w:rPr>
          <w:color w:val="auto"/>
          <w:spacing w:val="0"/>
          <w:sz w:val="20"/>
          <w:szCs w:val="20"/>
        </w:rPr>
      </w:pPr>
    </w:p>
    <w:p w14:paraId="61371136" w14:textId="77777777" w:rsidR="0030564F" w:rsidRPr="00A61A87" w:rsidRDefault="0030564F" w:rsidP="005F6D33">
      <w:pPr>
        <w:pStyle w:val="ListParagraph"/>
        <w:numPr>
          <w:ilvl w:val="0"/>
          <w:numId w:val="5"/>
        </w:numPr>
        <w:spacing w:line="276" w:lineRule="auto"/>
        <w:rPr>
          <w:color w:val="auto"/>
          <w:spacing w:val="0"/>
        </w:rPr>
      </w:pPr>
      <w:r w:rsidRPr="00A61A87">
        <w:rPr>
          <w:b/>
          <w:bCs/>
          <w:color w:val="auto"/>
          <w:spacing w:val="0"/>
        </w:rPr>
        <w:t>Printing</w:t>
      </w:r>
      <w:r w:rsidRPr="00A61A87">
        <w:rPr>
          <w:color w:val="auto"/>
          <w:spacing w:val="0"/>
        </w:rPr>
        <w:t xml:space="preserve"> – Items such as posters, fact sheets, curricula, wallet cards, etc. necessary to accomplish the specific objectives of the Proposal.</w:t>
      </w:r>
    </w:p>
    <w:p w14:paraId="189C22A8" w14:textId="77777777" w:rsidR="0030564F" w:rsidRPr="00DA297D" w:rsidRDefault="0030564F" w:rsidP="005F6D33">
      <w:pPr>
        <w:spacing w:line="276" w:lineRule="auto"/>
        <w:rPr>
          <w:color w:val="auto"/>
          <w:spacing w:val="0"/>
          <w:sz w:val="20"/>
          <w:szCs w:val="20"/>
        </w:rPr>
      </w:pPr>
    </w:p>
    <w:p w14:paraId="38EA38EF" w14:textId="77777777" w:rsidR="0030564F" w:rsidRPr="00A61A87" w:rsidRDefault="0030564F" w:rsidP="005F6D33">
      <w:pPr>
        <w:pStyle w:val="ListParagraph"/>
        <w:numPr>
          <w:ilvl w:val="0"/>
          <w:numId w:val="5"/>
        </w:numPr>
        <w:spacing w:line="276" w:lineRule="auto"/>
        <w:rPr>
          <w:color w:val="auto"/>
          <w:spacing w:val="0"/>
        </w:rPr>
      </w:pPr>
      <w:r w:rsidRPr="00A61A87">
        <w:rPr>
          <w:b/>
          <w:bCs/>
          <w:color w:val="auto"/>
          <w:spacing w:val="0"/>
        </w:rPr>
        <w:t>Facilities</w:t>
      </w:r>
      <w:r w:rsidRPr="00A61A87">
        <w:rPr>
          <w:color w:val="auto"/>
          <w:spacing w:val="0"/>
        </w:rPr>
        <w:t xml:space="preserve"> – Rental costs associated with using a physical location for an activity necessary to accomplish the specific objectives of the Proposal.</w:t>
      </w:r>
    </w:p>
    <w:p w14:paraId="0C97019E" w14:textId="77777777" w:rsidR="0030564F" w:rsidRPr="00DA297D" w:rsidRDefault="0030564F" w:rsidP="005F6D33">
      <w:pPr>
        <w:spacing w:line="276" w:lineRule="auto"/>
        <w:rPr>
          <w:color w:val="auto"/>
          <w:spacing w:val="0"/>
          <w:sz w:val="20"/>
          <w:szCs w:val="20"/>
        </w:rPr>
      </w:pPr>
    </w:p>
    <w:p w14:paraId="1825C73E" w14:textId="32AB97D1" w:rsidR="0030564F" w:rsidRPr="00A61A87" w:rsidRDefault="0030564F" w:rsidP="005F6D33">
      <w:pPr>
        <w:pStyle w:val="ListParagraph"/>
        <w:numPr>
          <w:ilvl w:val="0"/>
          <w:numId w:val="5"/>
        </w:numPr>
        <w:spacing w:line="276" w:lineRule="auto"/>
        <w:rPr>
          <w:color w:val="auto"/>
          <w:spacing w:val="0"/>
        </w:rPr>
      </w:pPr>
      <w:r w:rsidRPr="00A61A87">
        <w:rPr>
          <w:b/>
          <w:bCs/>
          <w:color w:val="auto"/>
          <w:spacing w:val="0"/>
        </w:rPr>
        <w:t>Travel</w:t>
      </w:r>
      <w:r w:rsidRPr="00A61A87">
        <w:rPr>
          <w:color w:val="auto"/>
          <w:spacing w:val="0"/>
        </w:rPr>
        <w:t xml:space="preserve"> – Costs directly related to the specific objective of the Proposal are allowed, but there must be a reasonable attempt to keep these expenses low.</w:t>
      </w:r>
    </w:p>
    <w:p w14:paraId="436F5987" w14:textId="77777777" w:rsidR="00400F5A" w:rsidRPr="00A61A87" w:rsidRDefault="00400F5A" w:rsidP="004F6A76">
      <w:pPr>
        <w:spacing w:line="276" w:lineRule="auto"/>
        <w:ind w:left="0"/>
        <w:rPr>
          <w:color w:val="auto"/>
          <w:spacing w:val="0"/>
        </w:rPr>
      </w:pPr>
    </w:p>
    <w:p w14:paraId="4005084F" w14:textId="4A3AF56A" w:rsidR="00400F5A" w:rsidRPr="00A61A87" w:rsidRDefault="00400F5A" w:rsidP="005F6D33">
      <w:pPr>
        <w:spacing w:line="276" w:lineRule="auto"/>
        <w:rPr>
          <w:b/>
          <w:bCs/>
          <w:color w:val="auto"/>
          <w:spacing w:val="0"/>
        </w:rPr>
      </w:pPr>
      <w:r w:rsidRPr="00A61A87">
        <w:rPr>
          <w:b/>
          <w:bCs/>
          <w:color w:val="auto"/>
          <w:spacing w:val="0"/>
        </w:rPr>
        <w:t xml:space="preserve">The following items are </w:t>
      </w:r>
      <w:r w:rsidRPr="00A61A87">
        <w:rPr>
          <w:b/>
          <w:bCs/>
          <w:i/>
          <w:iCs/>
          <w:color w:val="auto"/>
          <w:spacing w:val="0"/>
        </w:rPr>
        <w:t>not</w:t>
      </w:r>
      <w:r w:rsidRPr="00A61A87">
        <w:rPr>
          <w:b/>
          <w:bCs/>
          <w:color w:val="auto"/>
          <w:spacing w:val="0"/>
        </w:rPr>
        <w:t xml:space="preserve"> allowable costs:</w:t>
      </w:r>
    </w:p>
    <w:p w14:paraId="52E5BBD9" w14:textId="77777777" w:rsidR="00400F5A" w:rsidRPr="00A61A87" w:rsidRDefault="00400F5A" w:rsidP="005F6D33">
      <w:pPr>
        <w:spacing w:line="276" w:lineRule="auto"/>
        <w:rPr>
          <w:b/>
          <w:bCs/>
          <w:color w:val="auto"/>
          <w:spacing w:val="0"/>
        </w:rPr>
      </w:pPr>
    </w:p>
    <w:p w14:paraId="1C1C8822" w14:textId="77777777" w:rsidR="00400F5A" w:rsidRPr="00A61A87" w:rsidRDefault="00400F5A" w:rsidP="005F6D33">
      <w:pPr>
        <w:pStyle w:val="ListParagraph"/>
        <w:numPr>
          <w:ilvl w:val="0"/>
          <w:numId w:val="6"/>
        </w:numPr>
        <w:spacing w:line="276" w:lineRule="auto"/>
        <w:rPr>
          <w:color w:val="auto"/>
          <w:spacing w:val="0"/>
        </w:rPr>
      </w:pPr>
      <w:r w:rsidRPr="00A61A87">
        <w:rPr>
          <w:color w:val="auto"/>
          <w:spacing w:val="0"/>
        </w:rPr>
        <w:t>New construction, alterations (except for specific, minor capital improvements), maintenance of buildings or building space, unless specifically allowed in the instructions for applicants</w:t>
      </w:r>
    </w:p>
    <w:p w14:paraId="0D9F3421" w14:textId="77777777" w:rsidR="00400F5A" w:rsidRPr="00A61A87" w:rsidRDefault="00400F5A" w:rsidP="005F6D33">
      <w:pPr>
        <w:pStyle w:val="ListParagraph"/>
        <w:numPr>
          <w:ilvl w:val="0"/>
          <w:numId w:val="6"/>
        </w:numPr>
        <w:spacing w:line="276" w:lineRule="auto"/>
        <w:rPr>
          <w:color w:val="auto"/>
          <w:spacing w:val="0"/>
        </w:rPr>
      </w:pPr>
      <w:r w:rsidRPr="00A61A87">
        <w:rPr>
          <w:color w:val="auto"/>
          <w:spacing w:val="0"/>
        </w:rPr>
        <w:t>Dues for membership in professional organizations</w:t>
      </w:r>
    </w:p>
    <w:p w14:paraId="2F9F9D2C" w14:textId="77777777" w:rsidR="00400F5A" w:rsidRPr="00A61A87" w:rsidRDefault="00400F5A" w:rsidP="005F6D33">
      <w:pPr>
        <w:pStyle w:val="ListParagraph"/>
        <w:numPr>
          <w:ilvl w:val="0"/>
          <w:numId w:val="6"/>
        </w:numPr>
        <w:spacing w:line="276" w:lineRule="auto"/>
        <w:rPr>
          <w:color w:val="auto"/>
          <w:spacing w:val="0"/>
        </w:rPr>
      </w:pPr>
      <w:r w:rsidRPr="00A61A87">
        <w:rPr>
          <w:color w:val="auto"/>
          <w:spacing w:val="0"/>
        </w:rPr>
        <w:t>Tuition, conference fees or awards to individuals</w:t>
      </w:r>
    </w:p>
    <w:p w14:paraId="195D69E4" w14:textId="77777777" w:rsidR="00400F5A" w:rsidRPr="00A61A87" w:rsidRDefault="00400F5A" w:rsidP="005F6D33">
      <w:pPr>
        <w:pStyle w:val="ListParagraph"/>
        <w:numPr>
          <w:ilvl w:val="0"/>
          <w:numId w:val="6"/>
        </w:numPr>
        <w:spacing w:line="276" w:lineRule="auto"/>
        <w:rPr>
          <w:color w:val="auto"/>
          <w:spacing w:val="0"/>
        </w:rPr>
      </w:pPr>
      <w:r w:rsidRPr="00A61A87">
        <w:rPr>
          <w:color w:val="auto"/>
          <w:spacing w:val="0"/>
        </w:rPr>
        <w:t>Billable services provided by physicians or other providers</w:t>
      </w:r>
    </w:p>
    <w:p w14:paraId="2FB41F8E" w14:textId="77777777" w:rsidR="00400F5A" w:rsidRPr="00A61A87" w:rsidRDefault="00400F5A" w:rsidP="005F6D33">
      <w:pPr>
        <w:pStyle w:val="ListParagraph"/>
        <w:numPr>
          <w:ilvl w:val="0"/>
          <w:numId w:val="6"/>
        </w:numPr>
        <w:spacing w:line="276" w:lineRule="auto"/>
        <w:rPr>
          <w:color w:val="auto"/>
          <w:spacing w:val="0"/>
        </w:rPr>
      </w:pPr>
      <w:r w:rsidRPr="00A61A87">
        <w:rPr>
          <w:color w:val="auto"/>
          <w:spacing w:val="0"/>
        </w:rPr>
        <w:t xml:space="preserve">Endowments or chairs associated with universities and medical schools </w:t>
      </w:r>
    </w:p>
    <w:p w14:paraId="2C2B4841" w14:textId="77777777" w:rsidR="00400F5A" w:rsidRPr="00A61A87" w:rsidRDefault="00400F5A" w:rsidP="005F6D33">
      <w:pPr>
        <w:pStyle w:val="ListParagraph"/>
        <w:numPr>
          <w:ilvl w:val="0"/>
          <w:numId w:val="6"/>
        </w:numPr>
        <w:spacing w:line="276" w:lineRule="auto"/>
        <w:rPr>
          <w:color w:val="auto"/>
          <w:spacing w:val="0"/>
        </w:rPr>
      </w:pPr>
      <w:r w:rsidRPr="00A61A87">
        <w:rPr>
          <w:color w:val="auto"/>
          <w:spacing w:val="0"/>
        </w:rPr>
        <w:t>Salaries of staff who are fully supported by their institution or organization</w:t>
      </w:r>
    </w:p>
    <w:p w14:paraId="137FABE6" w14:textId="77777777" w:rsidR="00400F5A" w:rsidRPr="00A61A87" w:rsidRDefault="00400F5A" w:rsidP="005F6D33">
      <w:pPr>
        <w:pStyle w:val="ListParagraph"/>
        <w:numPr>
          <w:ilvl w:val="0"/>
          <w:numId w:val="6"/>
        </w:numPr>
        <w:spacing w:line="276" w:lineRule="auto"/>
        <w:rPr>
          <w:color w:val="auto"/>
          <w:spacing w:val="0"/>
        </w:rPr>
      </w:pPr>
      <w:r w:rsidRPr="00A61A87">
        <w:rPr>
          <w:color w:val="auto"/>
          <w:spacing w:val="0"/>
        </w:rPr>
        <w:t>Conferences (unless part of a greater project or program)</w:t>
      </w:r>
    </w:p>
    <w:p w14:paraId="23F25892" w14:textId="77777777" w:rsidR="00400F5A" w:rsidRPr="00A61A87" w:rsidRDefault="00400F5A" w:rsidP="005F6D33">
      <w:pPr>
        <w:pStyle w:val="ListParagraph"/>
        <w:numPr>
          <w:ilvl w:val="0"/>
          <w:numId w:val="6"/>
        </w:numPr>
        <w:spacing w:line="276" w:lineRule="auto"/>
        <w:rPr>
          <w:color w:val="auto"/>
          <w:spacing w:val="0"/>
        </w:rPr>
      </w:pPr>
      <w:r w:rsidRPr="00A61A87">
        <w:rPr>
          <w:color w:val="auto"/>
          <w:spacing w:val="0"/>
        </w:rPr>
        <w:t xml:space="preserve">Projects that do not benefit the geographic area of interest to the Foundation </w:t>
      </w:r>
    </w:p>
    <w:p w14:paraId="233C8D7E" w14:textId="77777777" w:rsidR="00400F5A" w:rsidRPr="00A61A87" w:rsidRDefault="00400F5A" w:rsidP="005F6D33">
      <w:pPr>
        <w:pStyle w:val="ListParagraph"/>
        <w:numPr>
          <w:ilvl w:val="0"/>
          <w:numId w:val="6"/>
        </w:numPr>
        <w:spacing w:line="276" w:lineRule="auto"/>
        <w:rPr>
          <w:color w:val="auto"/>
          <w:spacing w:val="0"/>
        </w:rPr>
      </w:pPr>
      <w:r w:rsidRPr="00A61A87">
        <w:rPr>
          <w:color w:val="auto"/>
          <w:spacing w:val="0"/>
        </w:rPr>
        <w:t>Research</w:t>
      </w:r>
    </w:p>
    <w:p w14:paraId="45148A28" w14:textId="058772F3" w:rsidR="00400F5A" w:rsidRPr="00A61A87" w:rsidRDefault="00400F5A" w:rsidP="005F6D33">
      <w:pPr>
        <w:pStyle w:val="ListParagraph"/>
        <w:numPr>
          <w:ilvl w:val="0"/>
          <w:numId w:val="6"/>
        </w:numPr>
        <w:spacing w:line="276" w:lineRule="auto"/>
        <w:rPr>
          <w:color w:val="auto"/>
          <w:spacing w:val="0"/>
        </w:rPr>
      </w:pPr>
      <w:r w:rsidRPr="00A61A87">
        <w:rPr>
          <w:color w:val="auto"/>
          <w:spacing w:val="0"/>
        </w:rPr>
        <w:t>Lobbying or influencing the outcome of a proposed piece of legislation or election</w:t>
      </w:r>
    </w:p>
    <w:sectPr w:rsidR="00400F5A" w:rsidRPr="00A61A87" w:rsidSect="00DA297D">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CDFA" w14:textId="77777777" w:rsidR="00D36887" w:rsidRDefault="00D36887" w:rsidP="00E4203B">
      <w:r>
        <w:separator/>
      </w:r>
    </w:p>
  </w:endnote>
  <w:endnote w:type="continuationSeparator" w:id="0">
    <w:p w14:paraId="10512800" w14:textId="77777777" w:rsidR="00D36887" w:rsidRDefault="00D36887" w:rsidP="00E4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5C59" w14:textId="77777777" w:rsidR="00DA7130" w:rsidRDefault="00DA7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0483" w14:textId="2DE2EEB5" w:rsidR="00DA297D" w:rsidRDefault="00DA297D" w:rsidP="00DA297D">
    <w:pPr>
      <w:pStyle w:val="Footer"/>
      <w:jc w:val="center"/>
      <w:rPr>
        <w:sz w:val="20"/>
        <w:szCs w:val="20"/>
      </w:rPr>
    </w:pPr>
    <w:r>
      <w:rPr>
        <w:sz w:val="20"/>
        <w:szCs w:val="20"/>
      </w:rPr>
      <w:t>___________________________________________________________________________________</w:t>
    </w:r>
  </w:p>
  <w:p w14:paraId="6FECC52B" w14:textId="77777777" w:rsidR="00DA297D" w:rsidRDefault="00DA297D" w:rsidP="00DA297D">
    <w:pPr>
      <w:pStyle w:val="Footer"/>
      <w:jc w:val="center"/>
      <w:rPr>
        <w:sz w:val="20"/>
        <w:szCs w:val="20"/>
      </w:rPr>
    </w:pPr>
  </w:p>
  <w:p w14:paraId="1B2A672C" w14:textId="2FCD33B7" w:rsidR="00E4203B" w:rsidRPr="007D720E" w:rsidRDefault="0039461B" w:rsidP="007D720E">
    <w:pPr>
      <w:pStyle w:val="Footer"/>
      <w:jc w:val="center"/>
      <w:rPr>
        <w:sz w:val="20"/>
        <w:szCs w:val="20"/>
      </w:rPr>
    </w:pPr>
    <w:r>
      <w:rPr>
        <w:sz w:val="20"/>
        <w:szCs w:val="20"/>
      </w:rPr>
      <w:t xml:space="preserve">118 N. Bedford Rd., </w:t>
    </w:r>
    <w:r w:rsidR="004F6A76">
      <w:rPr>
        <w:sz w:val="20"/>
        <w:szCs w:val="20"/>
      </w:rPr>
      <w:t xml:space="preserve">Suite 100, </w:t>
    </w:r>
    <w:r>
      <w:rPr>
        <w:sz w:val="20"/>
        <w:szCs w:val="20"/>
      </w:rPr>
      <w:t>Mount Kisco, NY  10549</w:t>
    </w:r>
    <w:r w:rsidR="00DA297D" w:rsidRPr="004A353B">
      <w:rPr>
        <w:sz w:val="20"/>
        <w:szCs w:val="20"/>
      </w:rPr>
      <w:t xml:space="preserve"> </w:t>
    </w:r>
    <w:r w:rsidR="00DA297D">
      <w:rPr>
        <w:sz w:val="20"/>
        <w:szCs w:val="20"/>
      </w:rPr>
      <w:t xml:space="preserve">  </w:t>
    </w:r>
    <w:r w:rsidR="00DA297D" w:rsidRPr="004A353B">
      <w:rPr>
        <w:sz w:val="20"/>
        <w:szCs w:val="20"/>
      </w:rPr>
      <w:t xml:space="preserve"> (914) </w:t>
    </w:r>
    <w:r w:rsidR="00DA7130">
      <w:rPr>
        <w:sz w:val="20"/>
        <w:szCs w:val="20"/>
      </w:rPr>
      <w:t>813-9103</w:t>
    </w:r>
    <w:r w:rsidR="00DA297D" w:rsidRPr="004A353B">
      <w:rPr>
        <w:sz w:val="20"/>
        <w:szCs w:val="20"/>
      </w:rPr>
      <w:t xml:space="preserve"> </w:t>
    </w:r>
    <w:r w:rsidR="00DA297D">
      <w:rPr>
        <w:sz w:val="20"/>
        <w:szCs w:val="20"/>
      </w:rPr>
      <w:t xml:space="preserve">  </w:t>
    </w:r>
    <w:r w:rsidR="00DA297D" w:rsidRPr="004A353B">
      <w:rPr>
        <w:sz w:val="20"/>
        <w:szCs w:val="20"/>
      </w:rPr>
      <w:t xml:space="preserve"> </w:t>
    </w:r>
    <w:r w:rsidR="00DA297D">
      <w:rPr>
        <w:sz w:val="20"/>
        <w:szCs w:val="20"/>
      </w:rPr>
      <w:t xml:space="preserve"> </w:t>
    </w:r>
    <w:hyperlink r:id="rId1" w:history="1">
      <w:r w:rsidR="00DA297D" w:rsidRPr="00EF5DAE">
        <w:rPr>
          <w:rStyle w:val="Hyperlink"/>
          <w:sz w:val="20"/>
          <w:szCs w:val="20"/>
        </w:rPr>
        <w:t>www.fieldhallfoundation.org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3FF7" w14:textId="77777777" w:rsidR="00DA7130" w:rsidRDefault="00DA7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1380" w14:textId="77777777" w:rsidR="00D36887" w:rsidRDefault="00D36887" w:rsidP="00E4203B">
      <w:r>
        <w:separator/>
      </w:r>
    </w:p>
  </w:footnote>
  <w:footnote w:type="continuationSeparator" w:id="0">
    <w:p w14:paraId="2E2E3B45" w14:textId="77777777" w:rsidR="00D36887" w:rsidRDefault="00D36887" w:rsidP="00E42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B11B" w14:textId="77777777" w:rsidR="00DA7130" w:rsidRDefault="00DA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B4DE" w14:textId="77777777" w:rsidR="00DA7130" w:rsidRDefault="00DA7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70E0" w14:textId="77777777" w:rsidR="00DA7130" w:rsidRDefault="00DA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6DF2"/>
    <w:multiLevelType w:val="hybridMultilevel"/>
    <w:tmpl w:val="7F64BD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843F89"/>
    <w:multiLevelType w:val="hybridMultilevel"/>
    <w:tmpl w:val="461E8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9F1501"/>
    <w:multiLevelType w:val="hybridMultilevel"/>
    <w:tmpl w:val="865E400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806763"/>
    <w:multiLevelType w:val="hybridMultilevel"/>
    <w:tmpl w:val="72E2C5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8C6F05"/>
    <w:multiLevelType w:val="hybridMultilevel"/>
    <w:tmpl w:val="B64A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4491D"/>
    <w:multiLevelType w:val="hybridMultilevel"/>
    <w:tmpl w:val="43940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589772">
    <w:abstractNumId w:val="2"/>
  </w:num>
  <w:num w:numId="2" w16cid:durableId="725490842">
    <w:abstractNumId w:val="3"/>
  </w:num>
  <w:num w:numId="3" w16cid:durableId="1228421956">
    <w:abstractNumId w:val="4"/>
  </w:num>
  <w:num w:numId="4" w16cid:durableId="542061286">
    <w:abstractNumId w:val="5"/>
  </w:num>
  <w:num w:numId="5" w16cid:durableId="858474506">
    <w:abstractNumId w:val="1"/>
  </w:num>
  <w:num w:numId="6" w16cid:durableId="47271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4F"/>
    <w:rsid w:val="001823B4"/>
    <w:rsid w:val="002D6837"/>
    <w:rsid w:val="0030564F"/>
    <w:rsid w:val="0039461B"/>
    <w:rsid w:val="003D2C5A"/>
    <w:rsid w:val="00400F5A"/>
    <w:rsid w:val="0046276F"/>
    <w:rsid w:val="004A58B9"/>
    <w:rsid w:val="004F6A76"/>
    <w:rsid w:val="00543790"/>
    <w:rsid w:val="00563016"/>
    <w:rsid w:val="005F6D33"/>
    <w:rsid w:val="00626412"/>
    <w:rsid w:val="006300C2"/>
    <w:rsid w:val="006C1698"/>
    <w:rsid w:val="007B4DD6"/>
    <w:rsid w:val="007D720E"/>
    <w:rsid w:val="007E553C"/>
    <w:rsid w:val="00825ED5"/>
    <w:rsid w:val="008A6920"/>
    <w:rsid w:val="009E5C3E"/>
    <w:rsid w:val="00A506BD"/>
    <w:rsid w:val="00A56EE4"/>
    <w:rsid w:val="00A61A87"/>
    <w:rsid w:val="00A944F7"/>
    <w:rsid w:val="00B51186"/>
    <w:rsid w:val="00C44C1C"/>
    <w:rsid w:val="00D36887"/>
    <w:rsid w:val="00DA297D"/>
    <w:rsid w:val="00DA7130"/>
    <w:rsid w:val="00DB6A9B"/>
    <w:rsid w:val="00DE6E9E"/>
    <w:rsid w:val="00E018E8"/>
    <w:rsid w:val="00E4203B"/>
    <w:rsid w:val="00EA500A"/>
    <w:rsid w:val="00F101E0"/>
    <w:rsid w:val="00F85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8B06"/>
  <w15:chartTrackingRefBased/>
  <w15:docId w15:val="{175D55B0-B4ED-46F6-AACD-6C8418F7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0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64F"/>
    <w:pPr>
      <w:spacing w:after="0" w:afterAutospacing="0" w:line="240" w:lineRule="auto"/>
      <w:ind w:left="360"/>
    </w:pPr>
    <w:rPr>
      <w:rFonts w:cs="Times New Roman"/>
      <w:color w:val="000000"/>
      <w:spacing w:val="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790"/>
    <w:pPr>
      <w:ind w:left="720"/>
      <w:contextualSpacing/>
    </w:pPr>
  </w:style>
  <w:style w:type="paragraph" w:styleId="Header">
    <w:name w:val="header"/>
    <w:basedOn w:val="Normal"/>
    <w:link w:val="HeaderChar"/>
    <w:uiPriority w:val="99"/>
    <w:unhideWhenUsed/>
    <w:rsid w:val="00E4203B"/>
    <w:pPr>
      <w:tabs>
        <w:tab w:val="center" w:pos="4680"/>
        <w:tab w:val="right" w:pos="9360"/>
      </w:tabs>
    </w:pPr>
  </w:style>
  <w:style w:type="character" w:customStyle="1" w:styleId="HeaderChar">
    <w:name w:val="Header Char"/>
    <w:basedOn w:val="DefaultParagraphFont"/>
    <w:link w:val="Header"/>
    <w:uiPriority w:val="99"/>
    <w:rsid w:val="00E4203B"/>
    <w:rPr>
      <w:rFonts w:cs="Times New Roman"/>
      <w:color w:val="000000"/>
      <w:spacing w:val="8"/>
      <w:szCs w:val="24"/>
    </w:rPr>
  </w:style>
  <w:style w:type="paragraph" w:styleId="Footer">
    <w:name w:val="footer"/>
    <w:basedOn w:val="Normal"/>
    <w:link w:val="FooterChar"/>
    <w:uiPriority w:val="99"/>
    <w:unhideWhenUsed/>
    <w:rsid w:val="00E4203B"/>
    <w:pPr>
      <w:tabs>
        <w:tab w:val="center" w:pos="4680"/>
        <w:tab w:val="right" w:pos="9360"/>
      </w:tabs>
    </w:pPr>
  </w:style>
  <w:style w:type="character" w:customStyle="1" w:styleId="FooterChar">
    <w:name w:val="Footer Char"/>
    <w:basedOn w:val="DefaultParagraphFont"/>
    <w:link w:val="Footer"/>
    <w:uiPriority w:val="99"/>
    <w:rsid w:val="00E4203B"/>
    <w:rPr>
      <w:rFonts w:cs="Times New Roman"/>
      <w:color w:val="000000"/>
      <w:spacing w:val="8"/>
      <w:szCs w:val="24"/>
    </w:rPr>
  </w:style>
  <w:style w:type="character" w:styleId="Hyperlink">
    <w:name w:val="Hyperlink"/>
    <w:basedOn w:val="DefaultParagraphFont"/>
    <w:uiPriority w:val="99"/>
    <w:unhideWhenUsed/>
    <w:rsid w:val="00DA29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28160">
      <w:bodyDiv w:val="1"/>
      <w:marLeft w:val="0"/>
      <w:marRight w:val="0"/>
      <w:marTop w:val="0"/>
      <w:marBottom w:val="0"/>
      <w:divBdr>
        <w:top w:val="none" w:sz="0" w:space="0" w:color="auto"/>
        <w:left w:val="none" w:sz="0" w:space="0" w:color="auto"/>
        <w:bottom w:val="none" w:sz="0" w:space="0" w:color="auto"/>
        <w:right w:val="none" w:sz="0" w:space="0" w:color="auto"/>
      </w:divBdr>
    </w:div>
    <w:div w:id="110122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fieldhall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0AE7DA7D8B99746A05C88CA6EFDCFD5" ma:contentTypeVersion="18" ma:contentTypeDescription="Create a new document." ma:contentTypeScope="" ma:versionID="4350aba700e5d00ff10172c795712991">
  <xsd:schema xmlns:xsd="http://www.w3.org/2001/XMLSchema" xmlns:xs="http://www.w3.org/2001/XMLSchema" xmlns:p="http://schemas.microsoft.com/office/2006/metadata/properties" xmlns:ns2="c9e3fdf5-cf91-4328-9036-44703c4398ea" xmlns:ns3="5987b2e2-68ac-4fb6-844a-1b08f2b1861a" targetNamespace="http://schemas.microsoft.com/office/2006/metadata/properties" ma:root="true" ma:fieldsID="75ece1b66f902e87fe9ea01f7cbca3dd" ns2:_="" ns3:_="">
    <xsd:import namespace="c9e3fdf5-cf91-4328-9036-44703c4398ea"/>
    <xsd:import namespace="5987b2e2-68ac-4fb6-844a-1b08f2b1861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3fdf5-cf91-4328-9036-44703c4398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9d91ae67-668f-4c4a-83b5-38129c46bd1c}" ma:internalName="TaxCatchAll" ma:showField="CatchAllData" ma:web="c9e3fdf5-cf91-4328-9036-44703c4398e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7b2e2-68ac-4fb6-844a-1b08f2b186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125081f-2d2b-4fec-abf4-1e689c9325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e3fdf5-cf91-4328-9036-44703c4398ea">2FQMDFUHPJRD-947184357-70126</_dlc_DocId>
    <_dlc_DocIdUrl xmlns="c9e3fdf5-cf91-4328-9036-44703c4398ea">
      <Url>https://fieldhallfdn.sharepoint.com/sites/Department/_layouts/15/DocIdRedir.aspx?ID=2FQMDFUHPJRD-947184357-70126</Url>
      <Description>2FQMDFUHPJRD-947184357-70126</Description>
    </_dlc_DocIdUrl>
    <TaxCatchAll xmlns="c9e3fdf5-cf91-4328-9036-44703c4398ea" xsi:nil="true"/>
    <lcf76f155ced4ddcb4097134ff3c332f xmlns="5987b2e2-68ac-4fb6-844a-1b08f2b1861a">
      <Terms xmlns="http://schemas.microsoft.com/office/infopath/2007/PartnerControls"/>
    </lcf76f155ced4ddcb4097134ff3c332f>
    <SharedWithUsers xmlns="c9e3fdf5-cf91-4328-9036-44703c4398ea">
      <UserInfo>
        <DisplayName/>
        <AccountId xsi:nil="true"/>
        <AccountType/>
      </UserInfo>
    </SharedWithUsers>
  </documentManagement>
</p:properties>
</file>

<file path=customXml/itemProps1.xml><?xml version="1.0" encoding="utf-8"?>
<ds:datastoreItem xmlns:ds="http://schemas.openxmlformats.org/officeDocument/2006/customXml" ds:itemID="{2E74EC4B-BCD0-44B4-9E5C-F7036CA2854D}">
  <ds:schemaRefs>
    <ds:schemaRef ds:uri="http://schemas.microsoft.com/sharepoint/v3/contenttype/forms"/>
  </ds:schemaRefs>
</ds:datastoreItem>
</file>

<file path=customXml/itemProps2.xml><?xml version="1.0" encoding="utf-8"?>
<ds:datastoreItem xmlns:ds="http://schemas.openxmlformats.org/officeDocument/2006/customXml" ds:itemID="{BAE747C8-855C-499E-9059-83D3B964A776}">
  <ds:schemaRefs>
    <ds:schemaRef ds:uri="http://schemas.microsoft.com/sharepoint/events"/>
  </ds:schemaRefs>
</ds:datastoreItem>
</file>

<file path=customXml/itemProps3.xml><?xml version="1.0" encoding="utf-8"?>
<ds:datastoreItem xmlns:ds="http://schemas.openxmlformats.org/officeDocument/2006/customXml" ds:itemID="{792760F7-70EA-4275-913D-9B4DD51B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3fdf5-cf91-4328-9036-44703c4398ea"/>
    <ds:schemaRef ds:uri="5987b2e2-68ac-4fb6-844a-1b08f2b1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0D059-A977-4E0A-B01A-E3E2C1876C1F}">
  <ds:schemaRefs>
    <ds:schemaRef ds:uri="http://schemas.microsoft.com/office/2006/metadata/properties"/>
    <ds:schemaRef ds:uri="http://schemas.microsoft.com/office/infopath/2007/PartnerControls"/>
    <ds:schemaRef ds:uri="c9e3fdf5-cf91-4328-9036-44703c4398ea"/>
    <ds:schemaRef ds:uri="5987b2e2-68ac-4fb6-844a-1b08f2b1861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301</Words>
  <Characters>1806</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Horvath</dc:creator>
  <cp:keywords/>
  <dc:description/>
  <cp:lastModifiedBy>Patti Horvath</cp:lastModifiedBy>
  <cp:revision>29</cp:revision>
  <cp:lastPrinted>2022-12-01T21:03:00Z</cp:lastPrinted>
  <dcterms:created xsi:type="dcterms:W3CDTF">2019-03-14T19:45:00Z</dcterms:created>
  <dcterms:modified xsi:type="dcterms:W3CDTF">2026-03-20T19:46:00Z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0x01010010AE7DA7D8B99746A05C88CA6EFDCFD5</vt:lpwstr>
  </property>
  <property fmtid="{D5CDD505-2E9C-101B-9397-08002B2CF9AE}" pid="3" name="_dlc_DocIdItemGuid">
    <vt:lpwstr>a05ec9fc-9ecf-453b-a690-79b7017a2071</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